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115568" cy="4128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5568" cy="4128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璟控智能液压  恒石液压  液思液压</w:t>
      </w:r>
    </w:p>
    <w:p>
      <w:pPr>
        <w:pStyle w:val="Title"/>
        <w:spacing w:after="240"/>
      </w:pPr>
      <w:r>
        <w:rPr>
          <w:rFonts w:ascii="Droid Sans Fallback" w:hAnsi="Droid Sans Fallback" w:eastAsia="Droid Sans Fallback"/>
          <w:b/>
          <w:color w:val="000000"/>
          <w:sz w:val="52"/>
        </w:rPr>
        <w:t>代理商现场液压服务流程</w:t>
      </w:r>
    </w:p>
    <w:p>
      <w:pPr>
        <w:spacing w:before="0" w:after="28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HONS-SRV-001   V1.0   2026年10月6日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用于培训代理商把一次现场液压服务做完整。以设备不动作或动作变慢为入口，完成信息采集、隔离、测试、判断、处理、复测与交付。代理商应能解释每一步的依据，并交出可追溯的服务记录。</w:t>
      </w:r>
    </w:p>
    <w:p>
      <w:pPr>
        <w:pStyle w:val="Heading1"/>
      </w:pPr>
      <w:r>
        <w:rPr>
          <w:rFonts w:ascii="Droid Sans Fallback" w:hAnsi="Droid Sans Fallback" w:eastAsia="Droid Sans Fallback"/>
          <w:b/>
          <w:color w:val="000000"/>
          <w:sz w:val="32"/>
        </w:rPr>
        <w:t>服务流程总览</w:t>
      </w:r>
    </w:p>
    <w:p>
      <w:r>
        <w:drawing>
          <wp:inline xmlns:a="http://schemas.openxmlformats.org/drawingml/2006/main" xmlns:pic="http://schemas.openxmlformats.org/drawingml/2006/picture">
            <wp:extent cx="6217920" cy="26814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流程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681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使用原则  本流程规定服务工作的顺序和记录要求。具体测点、压力上限、接线、扭矩、清洁度与验证项目，以设备维护说明、有效版本的项目图纸及经技术负责人确认的工单为准。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800"/>
        <w:gridCol w:w="7992"/>
      </w:tblGrid>
      <w:tr>
        <w:trPr>
          <w:cantSplit/>
          <w:tblHeader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79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主要任务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代理商服务工程师</w:t>
            </w:r>
          </w:p>
        </w:tc>
        <w:tc>
          <w:tcPr>
            <w:tcW w:type="dxa" w:w="79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接单建档、按批准范围操作、记录原始数据、说明处理结果。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技术支持负责人</w:t>
            </w:r>
          </w:p>
        </w:tc>
        <w:tc>
          <w:tcPr>
            <w:tcW w:type="dxa" w:w="79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确认测点与测试方案，复核疑难判断和参数变更。行走系统对接恒石，工业系统对接液思；产品问题对接相应产品技术负责人。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客户设备负责人</w:t>
            </w:r>
          </w:p>
        </w:tc>
        <w:tc>
          <w:tcPr>
            <w:tcW w:type="dxa" w:w="799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说明故障、确认现场与试验条件、组织操作人员、确认交付状态。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工程审核 __________________  适用设备范围 __________________  生效日期 __________________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接单和远程资料采集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SV01 接单建档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先建立唯一工单号，记录联系人、地点、机型、序列号、故障动作及停机影响。把客户描述写成可核实的现象，例如“油温升高后，某动作在同样指令下变慢”，不要直接写成“泵坏了”。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584"/>
        <w:gridCol w:w="8208"/>
      </w:tblGrid>
      <w:tr>
        <w:trPr>
          <w:cantSplit/>
          <w:tblHeader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询问项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需要记录的内容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发生条件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首次出现时间；突然出现还是逐步出现；冷机、热机、空载、带载和复合动作的差异。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影响范围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所有动作还是单个动作；伸出或缩回；单边或双边；是否伴随无力、异响、振动、漂移或外漏。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近期变化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是否换过油液、滤芯、软管、阀、控制器或接线；是否调过压力、改过程序或做过维修。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原始资料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有效版本原理图、产品铭牌、控制配置、故障码、维护记录和现场原始照片。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已做处理</w:t>
            </w:r>
          </w:p>
        </w:tc>
        <w:tc>
          <w:tcPr>
            <w:tcW w:type="dxa" w:w="820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谁操作、改了什么、改前和改后的数值、效果如何；保留被改动的原始设置。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SV02 远程采集和服务分流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请客户在允许且安全的条件下提供现象视频；明确画面中的动作、负载、转速、油温和指令。已经存在失控、坠落或喷射迹象时，不要求客户为了录像重复故障动作。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远程能够确定的事项可以指导客户在授权范围内核对；需要拆装、测压、带载试验或参数改动的，转入现场工单。资料不完整时先补资料，不把推测当作维修结论。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交付本步骤  工单号、故障描述、资料清单、现场任务边界、技术支持联系人。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服务准备和现场隔离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SV03 资料和工具准备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28"/>
        <w:gridCol w:w="8064"/>
      </w:tblGrid>
      <w:tr>
        <w:trPr>
          <w:cantSplit/>
          <w:tblHeader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准备项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20"/>
              </w:rPr>
              <w:t>确认要求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技术资料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有效图纸、厂家维护说明、产品资料和接口定义；在图纸上标明拟用测点。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测量工具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压力、流量、温度、转速与电气测量工具按测试项目选择；量程、压力等级、介质、接口和状态应适用。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连接及清洁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匹配的测试软管与接头、额定接插件、封堵保护、清洁用品与油液收集用品。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维修物料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按核实后的配置准备；记录替代件依据，不混装接口、密封或未经确认的总成。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现场安排</w:t>
            </w:r>
          </w:p>
        </w:tc>
        <w:tc>
          <w:tcPr>
            <w:tcW w:type="dxa" w:w="806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20"/>
              </w:rPr>
              <w:t>确定操作员、服务工程师、技术支持与拍摄人员；摄像机和人员避开运动及压力危险区。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SV04 现场确认和隔离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按现场制度与厂家方法停机、隔离并防止意外再启动；识别电、液压、气压、重力及弹性储能。移动设备按现场方法制动和防移动，可能下落的工作部件使用批准的机械支撑。[1][2]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按回路确认蓄能器和阀后封闭油腔等储压位置，按厂家方法释放与验证相关压力。泵停止或某一只压力表为零，不足以证明所有待拆部位无储能。禁止通过松开接头试探是否有压力。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需要通电或带压测试时，转换到经确认的测试工况：连接器及仪表先在安全状态下安装，恢复必要防护、确定控制与观察位置，再按批准步骤测试。[3]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不徒手或近距离试探泄漏喷流。疑似高压液体进入皮肤时立即停止作业并寻求紧急专业医疗处置，告知所接触液体；不要因外表伤口小而等待。[4]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继续条件  隔离方法、支撑、残余能量验证和测试边界均已确认。否则停止当前操作并升级。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基线测试和证据判断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SV05 先记录原始工况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先在批准的试验工况下记录未改动状态。至少注明动作、负载、转速、油温、指令、行程或计时区间、测点和仪表。没有可比工况，就不能把前后读数的变化解释成维修效果。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压力、流量和控制指令分开记录。压力读数不能代替流量测量；电比例控制应按产品规定核对实际驱动量、反馈或通信，不能只凭某个电压判断阀已正常动作。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728"/>
        <w:gridCol w:w="2520"/>
        <w:gridCol w:w="5544"/>
      </w:tblGrid>
      <w:tr>
        <w:trPr>
          <w:cantSplit/>
          <w:tblHeader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现象范围</w:t>
            </w:r>
          </w:p>
        </w:tc>
        <w:tc>
          <w:tcPr>
            <w:tcW w:type="dxa" w:w="25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优先核对方向</w:t>
            </w:r>
          </w:p>
        </w:tc>
        <w:tc>
          <w:tcPr>
            <w:tcW w:type="dxa" w:w="55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需要的证据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全部动作变慢</w:t>
            </w:r>
          </w:p>
        </w:tc>
        <w:tc>
          <w:tcPr>
            <w:tcW w:type="dxa" w:w="25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共用供油、转速、油液与控制使能</w:t>
            </w:r>
          </w:p>
        </w:tc>
        <w:tc>
          <w:tcPr>
            <w:tcW w:type="dxa" w:w="55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同工况转速、供油流量、关键压力、油温和共用指令；核对回路是否限流或分流。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单个动作变慢</w:t>
            </w:r>
          </w:p>
        </w:tc>
        <w:tc>
          <w:tcPr>
            <w:tcW w:type="dxa" w:w="25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该支路控制、节流及执行机构</w:t>
            </w:r>
          </w:p>
        </w:tc>
        <w:tc>
          <w:tcPr>
            <w:tcW w:type="dxa" w:w="55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支路指令、供回油状态、实际速度或动作时间；排除机械阻碍和负载变化。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热机后变慢</w:t>
            </w:r>
          </w:p>
        </w:tc>
        <w:tc>
          <w:tcPr>
            <w:tcW w:type="dxa" w:w="25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温度相关的泄漏、供油或控制变化</w:t>
            </w:r>
          </w:p>
        </w:tc>
        <w:tc>
          <w:tcPr>
            <w:tcW w:type="dxa" w:w="55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冷、热两组可比记录；排查方向需结合元件资料与回路，不能单凭油温判定内漏。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指令存在但无动作</w:t>
            </w:r>
          </w:p>
        </w:tc>
        <w:tc>
          <w:tcPr>
            <w:tcW w:type="dxa" w:w="252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使能、驱动、联锁与液压通路</w:t>
            </w:r>
          </w:p>
        </w:tc>
        <w:tc>
          <w:tcPr>
            <w:tcW w:type="dxa" w:w="554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有效指令与实际驱动证据，故障码，关键压力和回路条件。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SV06 一次验证一个假设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写清“待验证原因—支持证据—排除证据—下一项测试”。一次只改变一个已批准的变量，保存改前数值。不要同时调压力、改电流、换阀后，再把恢复动作解释为某个零件故障。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如果需要流量或内泄测试，按厂家认可的连接方式与程序实施；不得松管看油量、临时堵塞回油或盲目调高压力。不能安全完成时，保持设备安全状态并提交技术负责人。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处理和复测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SV07 在确认范围内处理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处理前，把判断依据、维修范围、物料、费用或审批方式以及预期验证项目说明白。只有原因与处理路径经过确认，才实施清洁、接线恢复、密封或元件更换、参数恢复等对应措施。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拆装前重新执行适用的隔离与储能验证；拆下的管口和部件及时保护，核对件号、密封、安装方向和接口。紧固、加油、排气与参数配置采用厂家规定，不编造通用扭矩、压力或电流。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记录每个改动：位置、旧状态、新状态、依据、操作者和时间。需要保存配置文件时，同时留存修改前版本；更换件保留编号和可复核的照片。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修复后的验证顺序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连接与防护复核完成后，按经确认的测试方案恢复运行。涉及承压连接更换或拆装的，采用适用的分阶段加压与隔离观察方案；试验压力不得超过批准范围。[3][4]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先进行方案规定的基本动作验证，再进入允许的工作负载、温度与复合动作条件。分别检查动作表现、外漏、异响、温升和与本次维修有关的控制及安全功能。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把试验次数、计时区间、保压时间和判定限值写入工单，并注明依据。前后测试尽量保持负载、转速、油温与指令一致；无法一致时注明差异和结论限制。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恢复一个动作不等于整机完成验收。制动、转向、载荷保持等功能相关问题，必须执行技术负责人确认的专门验证项目，不能用“动作正常”替代。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交付本步骤  维修记录、配置变化、前后对比表、复测原始数据、未解决项。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验收交付和回访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SV08 用记录说明处理结果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向客户依次说明故障现象、验证证据、实际处理和复测结果。区分已证实原因、已排除原因和仍需验证的事项；展示原始读数与适用的判定依据。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2016"/>
        <w:gridCol w:w="2016"/>
        <w:gridCol w:w="3384"/>
      </w:tblGrid>
      <w:tr>
        <w:trPr>
          <w:cantSplit/>
          <w:tblHeader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维修前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维修后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依据或条件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动作与计时区间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负载与转速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油温与指令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关键压力及测点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流量及测点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异常与相关功能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01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结论和设备状态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工单结论选择“处理完成并按记录验证”“已处理但仍有限制条件”或“未完成并升级”。记录允许运行的范围、禁止事项、未解决项、负责人及下一步安排；由有权限的设备负责人确认运行决定。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恢复规定的防护和管线固定，清理工具、废油与旧件；按现场制度结束隔离。客户签收确认服务内容与记录，不代替设备安全放行或专业测试。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按客户工况约定回访时间，询问同一现象是否复发，补充实际运行条件与新增读数。回访结果归入原工单，不能仅记录“客户说好了”。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完成条件  原始资料、测试记录、维修记录、客户确认、遗留问题和回访安排已归档。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代理商培训和实操考核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每次培训用同一真实工单连接视频、流程和记录表。看完视频后，由学员复述排查依据，再在有经验人员现场监督下完成适用的实际操作。理论学习不自动代表取得某类设备的独立服务能力。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160"/>
        <w:gridCol w:w="936"/>
        <w:gridCol w:w="6696"/>
      </w:tblGrid>
      <w:tr>
        <w:trPr>
          <w:cantSplit/>
          <w:tblHeader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考核项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分值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应交出的证据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信息采集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现象、边界和资料齐全，能区分客户描述与工程判断。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隔离及测试边界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能识别相关储能，说明支撑、隔离及验证方法。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工具与测点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仪表适用、接口正确、测点与图纸一致。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诊断证据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20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工况可比，能说明假设、支持与排除证据。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处理范围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有确认依据，改动与物料可追溯。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复测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15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有前后记录，覆盖批准的验证项目。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交付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10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结论和限制条件说清楚，责任与回访明确。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归档</w:t>
            </w:r>
          </w:p>
        </w:tc>
        <w:tc>
          <w:tcPr>
            <w:tcW w:type="dxa" w:w="93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5</w:t>
            </w:r>
          </w:p>
        </w:tc>
        <w:tc>
          <w:tcPr>
            <w:tcW w:type="dxa" w:w="669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工单、照片、数据和视频编号能够相互对应。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建议考核门槛为80分，并要求隔离、适用的储能验证、测试边界和设备状态交付等关键项全部通过。关键项未通过的，不安排独立执行相应现场任务。此门槛为培训方案建议，由公司技术负责人最终确定。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后续实拍课程安排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第1集  动作变慢的完整现场服务。第2集  普通多路阀与先导控制的现场核对。第3集  PV系列比例阀与电控匹配检查。第4集  漏油原因与清洁装配。第5集  载荷保持回路的识读与升级。第6集  维修后复测和交付。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每集保留一套真实原始记录。培训者重点检查“为什么做这项测试”和“证据是否支持结论”，避免只要求学员记住某个旋钮或零件名称。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现场记录表一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工单及基线记录  本页由服务工程师填写；不适用的字段写明原因。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工单号 __________________  日期 __________________  服务工程师 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客户及现场 __________________________  联系人及电话 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设备机型 ____________________________  序列号 ________________________________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有效图纸及版本 ______________________  厂家说明文件 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故障现象 __________________________________________________________________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发生条件及影响范围 __________________________________________________________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近期改动及已做处理 __________________________________________________________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隔离及相关储能验证记录 ______________________________________________________</w:t>
      </w:r>
    </w:p>
    <w:p>
      <w:pPr>
        <w:spacing w:before="0" w:after="24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批准的测点与试验条件 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2232"/>
        <w:gridCol w:w="1584"/>
        <w:gridCol w:w="3600"/>
      </w:tblGrid>
      <w:tr>
        <w:trPr>
          <w:cantSplit/>
          <w:tblHeader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项目及单位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测点或条件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原始值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依据及允许范围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动作时间 s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转速 r/min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油温 ℃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压力 bar或MPa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流量 L/min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指令及驱动量</w:t>
            </w:r>
          </w:p>
        </w:tc>
        <w:tc>
          <w:tcPr>
            <w:tcW w:type="dxa" w:w="2232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158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</w:t>
            </w:r>
          </w:p>
        </w:tc>
        <w:tc>
          <w:tcPr>
            <w:tcW w:type="dxa" w:w="360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仪表编号及状态 ________________________  原始照片视频编号 ____________________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待验证原因及下一项测试 ______________________________________________________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现场记录表二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/>
          <w:color w:val="000000"/>
          <w:sz w:val="22"/>
        </w:rPr>
        <w:t>处理复测及交付记录  与记录表一使用相同工单号。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工单号 __________________  处理范围确认人 __________________  时间 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验证后的判断及证据 __________________________________________________________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已排除原因 __________________________________________________________________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实际处理及部件编号 __________________________________________________________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参数变更  改前 __________________  改后 __________________  依据 _______________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复测项目及判定依据 __________________________________________________________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试验次数 __________  计时区间 __________________  保压时间或不适用原因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04"/>
        <w:gridCol w:w="2880"/>
        <w:gridCol w:w="2304"/>
        <w:gridCol w:w="2304"/>
      </w:tblGrid>
      <w:tr>
        <w:trPr>
          <w:cantSplit/>
          <w:tblHeader/>
        </w:trPr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复测项</w:t>
            </w:r>
          </w:p>
        </w:tc>
        <w:tc>
          <w:tcPr>
            <w:tcW w:type="dxa" w:w="288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条件或测点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结果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303030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/>
                <w:color w:val="FFFFFF"/>
                <w:sz w:val="19"/>
              </w:rPr>
              <w:t>判断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动作表现</w:t>
            </w:r>
          </w:p>
        </w:tc>
        <w:tc>
          <w:tcPr>
            <w:tcW w:type="dxa" w:w="288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压力及流量</w:t>
            </w:r>
          </w:p>
        </w:tc>
        <w:tc>
          <w:tcPr>
            <w:tcW w:type="dxa" w:w="288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外漏异响温升</w:t>
            </w:r>
          </w:p>
        </w:tc>
        <w:tc>
          <w:tcPr>
            <w:tcW w:type="dxa" w:w="288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FFFFF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</w:tr>
      <w:tr>
        <w:trPr>
          <w:cantSplit/>
        </w:trPr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相关控制及安全功能</w:t>
            </w:r>
          </w:p>
        </w:tc>
        <w:tc>
          <w:tcPr>
            <w:tcW w:type="dxa" w:w="2880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  <w:tc>
          <w:tcPr>
            <w:tcW w:type="dxa" w:w="2304"/>
            <w:vAlign w:val="center"/>
            <w:tcMar>
              <w:top w:w="90" w:type="dxa"/>
              <w:bottom w:w="90" w:type="dxa"/>
              <w:left w:w="110" w:type="dxa"/>
              <w:right w:w="110" w:type="dxa"/>
            </w:tcMar>
            <w:shd w:fill="F4F4F4"/>
          </w:tcPr>
          <w:p>
            <w:pPr>
              <w:spacing w:after="0" w:line="269" w:lineRule="auto"/>
            </w:pPr>
            <w:r>
              <w:rPr>
                <w:rFonts w:ascii="Droid Sans Fallback" w:hAnsi="Droid Sans Fallback" w:eastAsia="Droid Sans Fallback"/>
                <w:b w:val="0"/>
                <w:color w:val="000000"/>
                <w:sz w:val="19"/>
              </w:rPr>
              <w:t>____________</w:t>
            </w:r>
          </w:p>
        </w:tc>
      </w:tr>
    </w:tbl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6"/>
        </w:rPr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结论  □完成并验证  □有限制条件  □未完成并升级</w:t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设备允许状态及限制 __________________________________________________________</w:t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遗留项及负责人 ______________________________________________________________</w:t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回访时间 __________________________  回访结果 ________________________________</w:t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服务工程师 ________________________  客户确认人 ______________________________</w:t>
      </w:r>
    </w:p>
    <w:p>
      <w:pPr>
        <w:spacing w:before="0" w:after="2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设备运行状态决定人 ________________  原始记录归档位置 ________________________</w:t>
      </w:r>
    </w:p>
    <w:p>
      <w:pPr>
        <w:pStyle w:val="Heading1"/>
        <w:pageBreakBefore/>
      </w:pPr>
      <w:r>
        <w:rPr>
          <w:rFonts w:ascii="Droid Sans Fallback" w:hAnsi="Droid Sans Fallback" w:eastAsia="Droid Sans Fallback"/>
          <w:b/>
          <w:color w:val="000000"/>
          <w:sz w:val="32"/>
        </w:rPr>
        <w:t>资料依据和使用方法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本资料用于组织代理商服务培训。每个具体工单应补齐机型、有效图纸、测试方案与判定限值，完成技术审核后使用；遇到设备说明与通用流程差异时，由技术负责人确定适用做法。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安全原则参考资料</w:t>
      </w:r>
    </w:p>
    <w:p>
      <w:pPr>
        <w:spacing w:before="0" w:after="80" w:line="283" w:lineRule="auto"/>
      </w:pPr>
      <w:r>
        <w:rPr>
          <w:rFonts w:ascii="Droid Sans Fallback" w:hAnsi="Droid Sans Fallback" w:eastAsia="Droid Sans Fallback"/>
          <w:b/>
          <w:color w:val="000000"/>
          <w:sz w:val="20"/>
        </w:rPr>
        <w:t>[1] HSE Maintenance of work equipment</w:t>
      </w:r>
    </w:p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维修计划、人员能力、隔离、支撑与工作区域。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https://www.hse.gov.uk/work-equipment-machinery/maintenance.htm</w:t>
      </w:r>
    </w:p>
    <w:p>
      <w:pPr>
        <w:spacing w:before="0" w:after="80" w:line="283" w:lineRule="auto"/>
      </w:pPr>
      <w:r>
        <w:rPr>
          <w:rFonts w:ascii="Droid Sans Fallback" w:hAnsi="Droid Sans Fallback" w:eastAsia="Droid Sans Fallback"/>
          <w:b/>
          <w:color w:val="000000"/>
          <w:sz w:val="20"/>
        </w:rPr>
        <w:t>[2] OSHA Control of Hazardous Energy</w:t>
      </w:r>
    </w:p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识别不同能量源并控制意外启动与储能释放。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https://www.osha.gov/control-hazardous-energy</w:t>
      </w:r>
    </w:p>
    <w:p>
      <w:pPr>
        <w:spacing w:before="0" w:after="80" w:line="283" w:lineRule="auto"/>
      </w:pPr>
      <w:r>
        <w:rPr>
          <w:rFonts w:ascii="Droid Sans Fallback" w:hAnsi="Droid Sans Fallback" w:eastAsia="Droid Sans Fallback"/>
          <w:b/>
          <w:color w:val="000000"/>
          <w:sz w:val="20"/>
        </w:rPr>
        <w:t>[3] HSE GS4 Fourth edition</w:t>
      </w:r>
    </w:p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承压试验的工作方案、接头适配、人员隔离与监测。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https://www.hse.gov.uk/pubns/gs4.pdf</w:t>
      </w:r>
    </w:p>
    <w:p>
      <w:pPr>
        <w:spacing w:before="0" w:after="80" w:line="283" w:lineRule="auto"/>
      </w:pPr>
      <w:r>
        <w:rPr>
          <w:rFonts w:ascii="Droid Sans Fallback" w:hAnsi="Droid Sans Fallback" w:eastAsia="Droid Sans Fallback"/>
          <w:b/>
          <w:color w:val="000000"/>
          <w:sz w:val="20"/>
        </w:rPr>
        <w:t>[4] HSE Hydraulic injection injury</w:t>
      </w:r>
    </w:p>
    <w:p>
      <w:pPr>
        <w:spacing w:before="0" w:after="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0"/>
        </w:rPr>
        <w:t>承压连接维修、替换件兼容与喷射伤害的紧急处置。</w:t>
      </w:r>
    </w:p>
    <w:p>
      <w:pPr>
        <w:spacing w:before="0" w:after="26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https://www.hse.gov.uk/safetybulletins/hydraulic-injection-injury.htm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18"/>
        </w:rPr>
        <w:t>查阅日期  2026年10月6日。以上为技术与作业原则参考，不把外国法规条文直接作为国内代理商的法律义务。具体设备维护说明和现场管理制度由实施工单补充。</w:t>
      </w:r>
    </w:p>
    <w:p>
      <w:pPr>
        <w:pStyle w:val="Heading2"/>
      </w:pPr>
      <w:r>
        <w:rPr>
          <w:rFonts w:ascii="Droid Sans Fallback" w:hAnsi="Droid Sans Fallback" w:eastAsia="Droid Sans Fallback"/>
          <w:b/>
          <w:color w:val="000000"/>
          <w:sz w:val="24"/>
        </w:rPr>
        <w:t>视频和流程配套使用</w:t>
      </w:r>
    </w:p>
    <w:p>
      <w:pPr>
        <w:spacing w:before="0" w:after="120" w:line="283" w:lineRule="auto"/>
      </w:pPr>
      <w:r>
        <w:rPr>
          <w:rFonts w:ascii="Droid Sans Fallback" w:hAnsi="Droid Sans Fallback" w:eastAsia="Droid Sans Fallback"/>
          <w:b w:val="0"/>
          <w:color w:val="000000"/>
          <w:sz w:val="22"/>
        </w:rPr>
        <w:t>培训前把本流程和记录表发给学员。观看首集时，按SV01至SV08标记关键证据；观看后填写同一工单的记录表，再完成现场实操与考核。真实案例不能闭环时，保留升级与未完成结论，不在剪辑中制造已修好的结果。</w:t>
      </w:r>
    </w:p>
    <w:sectPr w:rsidR="00FC693F" w:rsidRPr="0006063C" w:rsidSect="00034616">
      <w:footerReference w:type="default" r:id="rId10"/>
      <w:pgSz w:w="12240" w:h="15840"/>
      <w:pgMar w:top="1037" w:right="1123" w:bottom="979" w:left="112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roid Sans Fallback" w:hAnsi="Droid Sans Fallback" w:eastAsia="Droid Sans Fallback"/>
        <w:b w:val="0"/>
        <w:color w:val="000000"/>
        <w:sz w:val="16"/>
      </w:rPr>
      <w:t xml:space="preserve">HONS-SRV-001  V1.0   第 </w:t>
    </w:r>
    <w:fldSimple w:instr="PAGE"/>
    <w:r>
      <w:rPr>
        <w:rFonts w:ascii="Droid Sans Fallback" w:hAnsi="Droid Sans Fallback" w:eastAsia="Droid Sans Fallback"/>
        <w:b w:val="0"/>
        <w:color w:val="000000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Droid Sans Fallback" w:hAnsi="Droid Sans Fallback" w:eastAsia="Droid Sans Fallback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83" w:lineRule="auto"/>
      <w:outlineLvl w:val="0"/>
    </w:pPr>
    <w:rPr>
      <w:rFonts w:ascii="Droid Sans Fallback" w:hAnsi="Droid Sans Fallback" w:eastAsia="Droid Sans Fallback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83" w:lineRule="auto"/>
      <w:outlineLvl w:val="1"/>
    </w:pPr>
    <w:rPr>
      <w:rFonts w:ascii="Droid Sans Fallback" w:hAnsi="Droid Sans Fallback" w:eastAsia="Droid Sans Fallback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 w:line="283" w:lineRule="auto"/>
      <w:outlineLvl w:val="2"/>
    </w:pPr>
    <w:rPr>
      <w:rFonts w:ascii="Droid Sans Fallback" w:hAnsi="Droid Sans Fallback" w:eastAsia="Droid Sans Fallback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83" w:lineRule="auto"/>
      <w:contextualSpacing/>
    </w:pPr>
    <w:rPr>
      <w:rFonts w:ascii="Droid Sans Fallback" w:hAnsi="Droid Sans Fallback" w:eastAsia="Droid Sans Fallback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83" w:lineRule="auto"/>
    </w:pPr>
    <w:rPr>
      <w:rFonts w:ascii="Droid Sans Fallback" w:hAnsi="Droid Sans Fallback" w:eastAsia="Droid Sans Fallback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代理商现场液压服务流程</dc:title>
  <dc:subject/>
  <dc:creator>恒石液压 技术服务培训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